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D6B20" w14:textId="77777777" w:rsidR="00FA5675" w:rsidRPr="00FA5675" w:rsidRDefault="00FA5675" w:rsidP="00FA5675">
      <w:pPr>
        <w:spacing w:after="0" w:line="240" w:lineRule="auto"/>
        <w:jc w:val="center"/>
        <w:rPr>
          <w:rFonts w:ascii="Times New Roman" w:eastAsia="Calibri" w:hAnsi="Times New Roman" w:cs="Times New Roman"/>
          <w:b/>
          <w:sz w:val="24"/>
          <w:szCs w:val="24"/>
          <w:u w:val="single"/>
        </w:rPr>
      </w:pPr>
      <w:r w:rsidRPr="00FA5675">
        <w:rPr>
          <w:rFonts w:ascii="Times New Roman" w:eastAsia="Calibri" w:hAnsi="Times New Roman" w:cs="Times New Roman"/>
          <w:b/>
          <w:sz w:val="24"/>
          <w:szCs w:val="24"/>
          <w:u w:val="single"/>
        </w:rPr>
        <w:t>MEMORANDUM</w:t>
      </w:r>
    </w:p>
    <w:p w14:paraId="47536D63" w14:textId="77777777" w:rsidR="00FA5675" w:rsidRPr="00FA5675" w:rsidRDefault="00FA5675" w:rsidP="00FA5675">
      <w:pPr>
        <w:spacing w:after="0" w:line="240" w:lineRule="auto"/>
        <w:jc w:val="center"/>
        <w:rPr>
          <w:rFonts w:ascii="Times New Roman" w:eastAsia="Calibri" w:hAnsi="Times New Roman" w:cs="Times New Roman"/>
          <w:b/>
          <w:sz w:val="24"/>
          <w:szCs w:val="24"/>
          <w:u w:val="single"/>
        </w:rPr>
      </w:pPr>
    </w:p>
    <w:p w14:paraId="669842BC" w14:textId="77777777" w:rsidR="00FA5675" w:rsidRPr="00FA5675" w:rsidRDefault="00FA5675" w:rsidP="00FA5675">
      <w:pPr>
        <w:spacing w:after="0" w:line="240" w:lineRule="auto"/>
        <w:jc w:val="center"/>
        <w:rPr>
          <w:rFonts w:ascii="Times New Roman" w:eastAsia="Calibri" w:hAnsi="Times New Roman" w:cs="Times New Roman"/>
          <w:b/>
          <w:sz w:val="24"/>
          <w:szCs w:val="24"/>
        </w:rPr>
      </w:pPr>
    </w:p>
    <w:p w14:paraId="7A4502FB"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TO</w:t>
      </w:r>
      <w:proofErr w:type="gramStart"/>
      <w:r w:rsidRPr="00FA5675">
        <w:rPr>
          <w:rFonts w:ascii="Times New Roman" w:eastAsia="Calibri" w:hAnsi="Times New Roman" w:cs="Times New Roman"/>
          <w:sz w:val="24"/>
          <w:szCs w:val="24"/>
        </w:rPr>
        <w:t>:</w:t>
      </w: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All</w:t>
      </w:r>
      <w:proofErr w:type="gramEnd"/>
      <w:r w:rsidRPr="00FA5675">
        <w:rPr>
          <w:rFonts w:ascii="Times New Roman" w:eastAsia="Calibri" w:hAnsi="Times New Roman" w:cs="Times New Roman"/>
          <w:sz w:val="24"/>
          <w:szCs w:val="24"/>
        </w:rPr>
        <w:t xml:space="preserve"> Members of the Municipal Excess Liability Fund</w:t>
      </w:r>
    </w:p>
    <w:p w14:paraId="44904B79" w14:textId="77777777" w:rsidR="00FA5675" w:rsidRPr="00FA5675" w:rsidRDefault="00FA5675" w:rsidP="00FA5675">
      <w:pPr>
        <w:spacing w:after="0" w:line="240" w:lineRule="auto"/>
        <w:rPr>
          <w:rFonts w:ascii="Times New Roman" w:eastAsia="Calibri" w:hAnsi="Times New Roman" w:cs="Times New Roman"/>
          <w:sz w:val="24"/>
          <w:szCs w:val="24"/>
        </w:rPr>
      </w:pPr>
    </w:p>
    <w:p w14:paraId="6EAC3732"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FROM:</w:t>
      </w:r>
      <w:r w:rsidRPr="00FA5675">
        <w:rPr>
          <w:rFonts w:ascii="Times New Roman" w:eastAsia="Calibri" w:hAnsi="Times New Roman" w:cs="Times New Roman"/>
          <w:sz w:val="24"/>
          <w:szCs w:val="24"/>
        </w:rPr>
        <w:tab/>
        <w:t>Fred Semrau, Fund Attorney</w:t>
      </w:r>
    </w:p>
    <w:p w14:paraId="5FCE7BFD"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Dave Grubb, Executive Director</w:t>
      </w:r>
    </w:p>
    <w:p w14:paraId="0F777872"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Joe Hrubash, Executive Director</w:t>
      </w:r>
    </w:p>
    <w:p w14:paraId="75547797"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Paul Shives, Safety Director</w:t>
      </w:r>
    </w:p>
    <w:p w14:paraId="447CD550"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Pauline Kontomanolis, Chief Accounting Officer</w:t>
      </w:r>
    </w:p>
    <w:p w14:paraId="041048D7"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Ed Cooney, Underwriting Manager</w:t>
      </w:r>
    </w:p>
    <w:p w14:paraId="7FC70D5C" w14:textId="77777777" w:rsidR="00FA5675" w:rsidRPr="00FA5675" w:rsidRDefault="00FA5675" w:rsidP="00FA5675">
      <w:pPr>
        <w:spacing w:after="0" w:line="240" w:lineRule="auto"/>
        <w:rPr>
          <w:rFonts w:ascii="Times New Roman" w:eastAsia="Calibri" w:hAnsi="Times New Roman" w:cs="Times New Roman"/>
          <w:sz w:val="24"/>
          <w:szCs w:val="24"/>
        </w:rPr>
      </w:pPr>
    </w:p>
    <w:p w14:paraId="1258778A"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rPr>
        <w:t>DATED:</w:t>
      </w:r>
      <w:r w:rsidRPr="00FA5675">
        <w:rPr>
          <w:rFonts w:ascii="Times New Roman" w:eastAsia="Calibri" w:hAnsi="Times New Roman" w:cs="Times New Roman"/>
          <w:sz w:val="24"/>
          <w:szCs w:val="24"/>
        </w:rPr>
        <w:tab/>
        <w:t>October 31, 2023</w:t>
      </w:r>
    </w:p>
    <w:p w14:paraId="66EE9903" w14:textId="77777777" w:rsidR="00FA5675" w:rsidRPr="00FA5675" w:rsidRDefault="00FA5675" w:rsidP="00FA5675">
      <w:pPr>
        <w:spacing w:after="0" w:line="240" w:lineRule="auto"/>
        <w:rPr>
          <w:rFonts w:ascii="Times New Roman" w:eastAsia="Calibri" w:hAnsi="Times New Roman" w:cs="Times New Roman"/>
          <w:sz w:val="24"/>
          <w:szCs w:val="24"/>
        </w:rPr>
      </w:pPr>
    </w:p>
    <w:p w14:paraId="6A70E48D" w14:textId="77777777" w:rsidR="00FA5675" w:rsidRPr="00FA5675" w:rsidRDefault="00FA5675" w:rsidP="00FA5675">
      <w:pPr>
        <w:spacing w:after="0" w:line="240" w:lineRule="auto"/>
        <w:ind w:left="720" w:hanging="720"/>
        <w:jc w:val="both"/>
        <w:rPr>
          <w:rFonts w:ascii="Times New Roman" w:eastAsia="Calibri" w:hAnsi="Times New Roman" w:cs="Times New Roman"/>
          <w:sz w:val="24"/>
          <w:szCs w:val="24"/>
        </w:rPr>
      </w:pPr>
      <w:r w:rsidRPr="00FA5675">
        <w:rPr>
          <w:rFonts w:ascii="Times New Roman" w:eastAsia="Calibri" w:hAnsi="Times New Roman" w:cs="Times New Roman"/>
          <w:sz w:val="24"/>
          <w:szCs w:val="24"/>
        </w:rPr>
        <w:t>RE</w:t>
      </w:r>
      <w:proofErr w:type="gramStart"/>
      <w:r w:rsidRPr="00FA5675">
        <w:rPr>
          <w:rFonts w:ascii="Times New Roman" w:eastAsia="Calibri" w:hAnsi="Times New Roman" w:cs="Times New Roman"/>
          <w:sz w:val="24"/>
          <w:szCs w:val="24"/>
        </w:rPr>
        <w:t>:</w:t>
      </w:r>
      <w:r w:rsidRPr="00FA5675">
        <w:rPr>
          <w:rFonts w:ascii="Times New Roman" w:eastAsia="Calibri" w:hAnsi="Times New Roman" w:cs="Times New Roman"/>
          <w:sz w:val="24"/>
          <w:szCs w:val="24"/>
        </w:rPr>
        <w:tab/>
      </w:r>
      <w:r w:rsidRPr="00FA5675">
        <w:rPr>
          <w:rFonts w:ascii="Times New Roman" w:eastAsia="Calibri" w:hAnsi="Times New Roman" w:cs="Times New Roman"/>
          <w:sz w:val="24"/>
          <w:szCs w:val="24"/>
        </w:rPr>
        <w:tab/>
        <w:t>MEL’s</w:t>
      </w:r>
      <w:proofErr w:type="gramEnd"/>
      <w:r w:rsidRPr="00FA5675">
        <w:rPr>
          <w:rFonts w:ascii="Times New Roman" w:eastAsia="Calibri" w:hAnsi="Times New Roman" w:cs="Times New Roman"/>
          <w:sz w:val="24"/>
          <w:szCs w:val="24"/>
        </w:rPr>
        <w:t xml:space="preserve"> JCMI Banking Best Practices - Wire Transfers, ACH Payments (Automatic Clearing House) and Check Issuance. </w:t>
      </w:r>
    </w:p>
    <w:p w14:paraId="07FCD49C" w14:textId="77777777" w:rsidR="00FA5675" w:rsidRPr="00FA5675" w:rsidRDefault="00FA5675" w:rsidP="00FA5675">
      <w:pPr>
        <w:spacing w:after="0" w:line="240" w:lineRule="auto"/>
        <w:rPr>
          <w:rFonts w:ascii="Times New Roman" w:eastAsia="Calibri" w:hAnsi="Times New Roman" w:cs="Times New Roman"/>
          <w:sz w:val="24"/>
          <w:szCs w:val="24"/>
        </w:rPr>
      </w:pP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r w:rsidRPr="00FA5675">
        <w:rPr>
          <w:rFonts w:ascii="Times New Roman" w:eastAsia="Calibri" w:hAnsi="Times New Roman" w:cs="Times New Roman"/>
          <w:sz w:val="24"/>
          <w:szCs w:val="24"/>
          <w:u w:val="single"/>
        </w:rPr>
        <w:tab/>
      </w:r>
    </w:p>
    <w:p w14:paraId="097520EB" w14:textId="77777777" w:rsidR="00FA5675" w:rsidRPr="00FA5675" w:rsidRDefault="00FA5675" w:rsidP="00FA5675">
      <w:pPr>
        <w:spacing w:after="0" w:line="240" w:lineRule="auto"/>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6D7C8C58"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Dear Public Entity Chief Financial Officer and Administrator: </w:t>
      </w:r>
    </w:p>
    <w:p w14:paraId="5E20F5EA"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31870C38"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Wire transfer fraud cyber-attacks cost U.S. businesses billions of dollars each year. </w:t>
      </w:r>
      <w:proofErr w:type="gramStart"/>
      <w:r w:rsidRPr="00FA5675">
        <w:rPr>
          <w:rFonts w:ascii="Times New Roman" w:eastAsia="Times New Roman" w:hAnsi="Times New Roman" w:cs="Times New Roman"/>
          <w:sz w:val="24"/>
          <w:szCs w:val="24"/>
          <w:lang w:eastAsia="ja-JP"/>
        </w:rPr>
        <w:t>A number of</w:t>
      </w:r>
      <w:proofErr w:type="gramEnd"/>
      <w:r w:rsidRPr="00FA5675">
        <w:rPr>
          <w:rFonts w:ascii="Times New Roman" w:eastAsia="Times New Roman" w:hAnsi="Times New Roman" w:cs="Times New Roman"/>
          <w:sz w:val="24"/>
          <w:szCs w:val="24"/>
          <w:lang w:eastAsia="ja-JP"/>
        </w:rPr>
        <w:t xml:space="preserve"> covered entities have experienced breaches to their information systems related to wire transfers with financial institutions that have resulted in losses that far exceed their crime and cyber insurance coverage. Many of these events could have been avoided by applying vigilant oversight and compliance with “best practice” guidelines. </w:t>
      </w:r>
    </w:p>
    <w:p w14:paraId="24EC7DA3" w14:textId="77777777" w:rsidR="00FA5675" w:rsidRPr="00FA5675" w:rsidRDefault="00FA5675" w:rsidP="00FA5675">
      <w:pPr>
        <w:spacing w:after="0" w:line="240" w:lineRule="auto"/>
        <w:ind w:firstLine="72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1F9CA006" w14:textId="77777777" w:rsidR="00FA5675" w:rsidRPr="00FA5675" w:rsidRDefault="00FA5675" w:rsidP="00FA5675">
      <w:pPr>
        <w:spacing w:after="0" w:line="240" w:lineRule="auto"/>
        <w:jc w:val="both"/>
        <w:textAlignment w:val="baseline"/>
        <w:rPr>
          <w:rFonts w:ascii="Times New Roman" w:eastAsia="Times New Roman" w:hAnsi="Times New Roman" w:cs="Times New Roman"/>
          <w:b/>
          <w:bCs/>
          <w:sz w:val="24"/>
          <w:szCs w:val="24"/>
          <w:lang w:eastAsia="ja-JP"/>
        </w:rPr>
      </w:pPr>
      <w:r w:rsidRPr="00FA5675">
        <w:rPr>
          <w:rFonts w:ascii="Times New Roman" w:eastAsia="Times New Roman" w:hAnsi="Times New Roman" w:cs="Times New Roman"/>
          <w:sz w:val="24"/>
          <w:szCs w:val="24"/>
          <w:lang w:eastAsia="ja-JP"/>
        </w:rPr>
        <w:t>The following is a list of best practices that the MEL JCMI requires the JCMI and MEL affiliated members to review and implement with their Administration, Chief Financial Officer, and lending institution to ensure all necessary protections are in place.</w:t>
      </w:r>
      <w:r w:rsidRPr="00FA5675">
        <w:rPr>
          <w:rFonts w:ascii="Times New Roman" w:eastAsia="Times New Roman" w:hAnsi="Times New Roman" w:cs="Times New Roman"/>
          <w:color w:val="FF0000"/>
          <w:sz w:val="24"/>
          <w:szCs w:val="24"/>
          <w:lang w:eastAsia="ja-JP"/>
        </w:rPr>
        <w:t xml:space="preserve"> </w:t>
      </w:r>
      <w:r w:rsidRPr="00FA5675">
        <w:rPr>
          <w:rFonts w:ascii="Times New Roman" w:eastAsia="Times New Roman" w:hAnsi="Times New Roman" w:cs="Times New Roman"/>
          <w:b/>
          <w:bCs/>
          <w:sz w:val="24"/>
          <w:szCs w:val="24"/>
          <w:lang w:eastAsia="ja-JP"/>
        </w:rPr>
        <w:t xml:space="preserve">Failure to adhere to these required practices may lead to an increase in deductible, denial of claim or termination of coverage. </w:t>
      </w:r>
    </w:p>
    <w:p w14:paraId="56B3B66F"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476A9944"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u w:val="single"/>
          <w:lang w:eastAsia="ja-JP"/>
        </w:rPr>
        <w:t>Best Practices for Wire Transfers and ACH Payments</w:t>
      </w:r>
      <w:r w:rsidRPr="00FA5675">
        <w:rPr>
          <w:rFonts w:ascii="Times New Roman" w:eastAsia="Times New Roman" w:hAnsi="Times New Roman" w:cs="Times New Roman"/>
          <w:sz w:val="24"/>
          <w:szCs w:val="24"/>
          <w:lang w:eastAsia="ja-JP"/>
        </w:rPr>
        <w:t> </w:t>
      </w:r>
    </w:p>
    <w:p w14:paraId="5F86907B"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p>
    <w:p w14:paraId="4861A32A" w14:textId="77777777" w:rsidR="00FA5675" w:rsidRPr="00FA5675" w:rsidRDefault="00FA5675" w:rsidP="00FA5675">
      <w:pPr>
        <w:numPr>
          <w:ilvl w:val="0"/>
          <w:numId w:val="22"/>
        </w:num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lang w:eastAsia="ja-JP"/>
        </w:rPr>
        <w:t>Review contracts with financial institutions</w:t>
      </w:r>
      <w:r w:rsidRPr="00FA5675">
        <w:rPr>
          <w:rFonts w:ascii="Times New Roman" w:eastAsia="Times New Roman" w:hAnsi="Times New Roman" w:cs="Times New Roman"/>
          <w:sz w:val="24"/>
          <w:szCs w:val="24"/>
          <w:lang w:eastAsia="ja-JP"/>
        </w:rPr>
        <w:t xml:space="preserve"> – Your entity’s legal counsel must immediately review all agreements and be certain that the “presumptive liability” is placed on financial institutions that process wire transfers and ACH payments. </w:t>
      </w:r>
    </w:p>
    <w:p w14:paraId="64BD4BFC" w14:textId="77777777" w:rsidR="00FA5675" w:rsidRPr="00FA5675" w:rsidRDefault="00FA5675" w:rsidP="00FA5675">
      <w:pPr>
        <w:spacing w:after="0" w:line="240" w:lineRule="auto"/>
        <w:ind w:left="720"/>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4D18F88F" w14:textId="77777777" w:rsidR="00FA5675" w:rsidRPr="00FA5675" w:rsidRDefault="00FA5675" w:rsidP="00FA5675">
      <w:pPr>
        <w:numPr>
          <w:ilvl w:val="0"/>
          <w:numId w:val="1"/>
        </w:num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lang w:eastAsia="ja-JP"/>
        </w:rPr>
        <w:t>Confirm receipt of Best Practices</w:t>
      </w:r>
      <w:r w:rsidRPr="00FA5675">
        <w:rPr>
          <w:rFonts w:ascii="Times New Roman" w:eastAsia="Times New Roman" w:hAnsi="Times New Roman" w:cs="Times New Roman"/>
          <w:sz w:val="24"/>
          <w:szCs w:val="24"/>
          <w:lang w:eastAsia="ja-JP"/>
        </w:rPr>
        <w:t xml:space="preserve"> – Verify that your Chief Financial Officer has reviewed each of these practices and provides specific “no exception guidelines” as to wire transfer and ACH payment policy and procedures. </w:t>
      </w:r>
    </w:p>
    <w:p w14:paraId="52046302" w14:textId="77777777" w:rsidR="00FA5675" w:rsidRPr="00FA5675" w:rsidRDefault="00FA5675" w:rsidP="00FA5675">
      <w:pPr>
        <w:spacing w:after="0" w:line="240" w:lineRule="auto"/>
        <w:ind w:left="720"/>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0D57347F" w14:textId="77777777" w:rsidR="00FA5675" w:rsidRPr="00FA5675" w:rsidRDefault="00FA5675" w:rsidP="00FA5675">
      <w:pPr>
        <w:numPr>
          <w:ilvl w:val="0"/>
          <w:numId w:val="2"/>
        </w:num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lang w:eastAsia="ja-JP"/>
        </w:rPr>
        <w:t>Include Best Practices in Annual Cash Management Plan</w:t>
      </w:r>
      <w:r w:rsidRPr="00FA5675">
        <w:rPr>
          <w:rFonts w:ascii="Times New Roman" w:eastAsia="Times New Roman" w:hAnsi="Times New Roman" w:cs="Times New Roman"/>
          <w:sz w:val="24"/>
          <w:szCs w:val="24"/>
          <w:lang w:eastAsia="ja-JP"/>
        </w:rPr>
        <w:t xml:space="preserve"> – Require that your Chief Financial Officer includes the entire Best Practices for Wire Transfer, ACH Payments, and Check Issuance protocol as part of the Annual Cash Management Plan pursuant to N.J.S.A. 40A:5-14, which is required to be adopted annually by the governing body. </w:t>
      </w:r>
    </w:p>
    <w:p w14:paraId="6585ADC6" w14:textId="77777777" w:rsidR="00FA5675" w:rsidRPr="00FA5675" w:rsidRDefault="00FA5675" w:rsidP="00FA5675">
      <w:pPr>
        <w:spacing w:after="0" w:line="240" w:lineRule="auto"/>
        <w:ind w:left="720"/>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54686343" w14:textId="77777777" w:rsidR="00FA5675" w:rsidRPr="00FA5675" w:rsidRDefault="00FA5675" w:rsidP="00FA5675">
      <w:pPr>
        <w:numPr>
          <w:ilvl w:val="0"/>
          <w:numId w:val="3"/>
        </w:num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lang w:eastAsia="ja-JP"/>
        </w:rPr>
        <w:lastRenderedPageBreak/>
        <w:t xml:space="preserve">Establish specific wire transfer and ACH payment requirements </w:t>
      </w:r>
      <w:r w:rsidRPr="00FA5675">
        <w:rPr>
          <w:rFonts w:ascii="Times New Roman" w:eastAsia="Times New Roman" w:hAnsi="Times New Roman" w:cs="Times New Roman"/>
          <w:sz w:val="24"/>
          <w:szCs w:val="24"/>
          <w:lang w:eastAsia="ja-JP"/>
        </w:rPr>
        <w:t>– Wire transfers payments are completed the same day while ACH payments take 1-2 business days for the transaction to be completed. Banking institutions have indicated that ACH payments are more secure than wire transfers. The following requirements must be part of your wire transfer and ACH payments policy:   </w:t>
      </w:r>
    </w:p>
    <w:p w14:paraId="43B4F57B" w14:textId="77777777" w:rsidR="00FA5675" w:rsidRPr="00FA5675" w:rsidRDefault="00FA5675" w:rsidP="00FA5675">
      <w:pPr>
        <w:spacing w:after="0" w:line="240" w:lineRule="auto"/>
        <w:ind w:left="720"/>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103A37FE" w14:textId="77777777" w:rsidR="00FA5675" w:rsidRPr="00FA5675" w:rsidRDefault="00FA5675" w:rsidP="00FA5675">
      <w:pPr>
        <w:numPr>
          <w:ilvl w:val="0"/>
          <w:numId w:val="4"/>
        </w:numPr>
        <w:tabs>
          <w:tab w:val="num" w:pos="1440"/>
        </w:tabs>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Identify at least two authorized individuals in the covered entity who are authorized to execute and confirm wire transfers and ACH payments, respectively. The Official with financial administrative rights that is tasked with this process is required to have an appropriate level of responsibility. This official will set up the wire transfer or the ACH payment and the other official, also with an appropriate level of responsibility will authorize the release of the wire or ACH payment directly with the bank utilizing a separate platform other than the electronic platform utilized to initiate the wire, i.e., Telephone call or Phone Text, not an email on the same network.</w:t>
      </w:r>
    </w:p>
    <w:p w14:paraId="2482C99E"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487D6AAB" w14:textId="77777777" w:rsidR="00FA5675" w:rsidRPr="00FA5675" w:rsidRDefault="00FA5675" w:rsidP="00FA5675">
      <w:pPr>
        <w:numPr>
          <w:ilvl w:val="0"/>
          <w:numId w:val="5"/>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Free form wire transfers and ACH payments must be blocked in the banking system. Only wire transfers where an approved wire or ACH template is authorized are allowed. Wire and ACH Template authorizations should go through the same approval process as noted in </w:t>
      </w:r>
      <w:proofErr w:type="gramStart"/>
      <w:r w:rsidRPr="00FA5675">
        <w:rPr>
          <w:rFonts w:ascii="Times New Roman" w:eastAsia="Times New Roman" w:hAnsi="Times New Roman" w:cs="Times New Roman"/>
          <w:sz w:val="24"/>
          <w:szCs w:val="24"/>
          <w:lang w:eastAsia="ja-JP"/>
        </w:rPr>
        <w:t>a.</w:t>
      </w:r>
      <w:proofErr w:type="gramEnd"/>
      <w:r w:rsidRPr="00FA5675">
        <w:rPr>
          <w:rFonts w:ascii="Times New Roman" w:eastAsia="Times New Roman" w:hAnsi="Times New Roman" w:cs="Times New Roman"/>
          <w:sz w:val="24"/>
          <w:szCs w:val="24"/>
          <w:lang w:eastAsia="ja-JP"/>
        </w:rPr>
        <w:t xml:space="preserve"> above, wherein Official 1 initiates </w:t>
      </w:r>
      <w:proofErr w:type="gramStart"/>
      <w:r w:rsidRPr="00FA5675">
        <w:rPr>
          <w:rFonts w:ascii="Times New Roman" w:eastAsia="Times New Roman" w:hAnsi="Times New Roman" w:cs="Times New Roman"/>
          <w:sz w:val="24"/>
          <w:szCs w:val="24"/>
          <w:lang w:eastAsia="ja-JP"/>
        </w:rPr>
        <w:t>and  Official</w:t>
      </w:r>
      <w:proofErr w:type="gramEnd"/>
      <w:r w:rsidRPr="00FA5675">
        <w:rPr>
          <w:rFonts w:ascii="Times New Roman" w:eastAsia="Times New Roman" w:hAnsi="Times New Roman" w:cs="Times New Roman"/>
          <w:sz w:val="24"/>
          <w:szCs w:val="24"/>
          <w:lang w:eastAsia="ja-JP"/>
        </w:rPr>
        <w:t xml:space="preserve"> 2 confirms. Also, any changes to a template must be authorized using this same process. A wire transfer or ACH payment requires at least two forms of verification from the vendor bank before a transfer can be authorized. The verification should include: (</w:t>
      </w:r>
      <w:proofErr w:type="spellStart"/>
      <w:r w:rsidRPr="00FA5675">
        <w:rPr>
          <w:rFonts w:ascii="Times New Roman" w:eastAsia="Times New Roman" w:hAnsi="Times New Roman" w:cs="Times New Roman"/>
          <w:sz w:val="24"/>
          <w:szCs w:val="24"/>
          <w:lang w:eastAsia="ja-JP"/>
        </w:rPr>
        <w:t>i</w:t>
      </w:r>
      <w:proofErr w:type="spellEnd"/>
      <w:r w:rsidRPr="00FA5675">
        <w:rPr>
          <w:rFonts w:ascii="Times New Roman" w:eastAsia="Times New Roman" w:hAnsi="Times New Roman" w:cs="Times New Roman"/>
          <w:sz w:val="24"/>
          <w:szCs w:val="24"/>
          <w:lang w:eastAsia="ja-JP"/>
        </w:rPr>
        <w:t xml:space="preserve">) multi-factor authentication for each authorized user; (ii) user verbal authorization and verbal confirmation using phone contact information on file, not the phone number in an email; and (iii) a limited email exchange to confirm the wire transfer. </w:t>
      </w:r>
      <w:proofErr w:type="gramStart"/>
      <w:r w:rsidRPr="00FA5675">
        <w:rPr>
          <w:rFonts w:ascii="Times New Roman" w:eastAsia="Times New Roman" w:hAnsi="Times New Roman" w:cs="Times New Roman"/>
          <w:sz w:val="24"/>
          <w:szCs w:val="24"/>
          <w:lang w:eastAsia="ja-JP"/>
        </w:rPr>
        <w:t>The</w:t>
      </w:r>
      <w:proofErr w:type="gramEnd"/>
      <w:r w:rsidRPr="00FA5675">
        <w:rPr>
          <w:rFonts w:ascii="Times New Roman" w:eastAsia="Times New Roman" w:hAnsi="Times New Roman" w:cs="Times New Roman"/>
          <w:sz w:val="24"/>
          <w:szCs w:val="24"/>
          <w:lang w:eastAsia="ja-JP"/>
        </w:rPr>
        <w:t xml:space="preserve"> additional factor(s) can be </w:t>
      </w:r>
      <w:r w:rsidRPr="00FA5675">
        <w:rPr>
          <w:rFonts w:ascii="Times New Roman" w:eastAsia="Times New Roman" w:hAnsi="Times New Roman" w:cs="Times New Roman"/>
          <w:sz w:val="24"/>
          <w:szCs w:val="24"/>
          <w:shd w:val="clear" w:color="auto" w:fill="FFFFFF"/>
          <w:lang w:eastAsia="ja-JP"/>
        </w:rPr>
        <w:t>a text with a code sent to an authorized user’s smartphone, a hard token, or biometrics</w:t>
      </w:r>
      <w:r w:rsidRPr="00FA5675">
        <w:rPr>
          <w:rFonts w:ascii="Times New Roman" w:eastAsia="Times New Roman" w:hAnsi="Times New Roman" w:cs="Times New Roman"/>
          <w:sz w:val="24"/>
          <w:szCs w:val="24"/>
          <w:lang w:eastAsia="ja-JP"/>
        </w:rPr>
        <w:t>. The email exchange shall never</w:t>
      </w:r>
      <w:r w:rsidRPr="00FA5675">
        <w:rPr>
          <w:rFonts w:ascii="Times New Roman" w:eastAsia="Times New Roman" w:hAnsi="Times New Roman" w:cs="Times New Roman"/>
          <w:color w:val="FF0000"/>
          <w:sz w:val="24"/>
          <w:szCs w:val="24"/>
          <w:lang w:eastAsia="ja-JP"/>
        </w:rPr>
        <w:t xml:space="preserve"> </w:t>
      </w:r>
      <w:r w:rsidRPr="00FA5675">
        <w:rPr>
          <w:rFonts w:ascii="Times New Roman" w:eastAsia="Times New Roman" w:hAnsi="Times New Roman" w:cs="Times New Roman"/>
          <w:sz w:val="24"/>
          <w:szCs w:val="24"/>
          <w:lang w:eastAsia="ja-JP"/>
        </w:rPr>
        <w:t>contain specific information relating to the actual contents of the transfer. </w:t>
      </w:r>
    </w:p>
    <w:p w14:paraId="0E720BC6"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483A62C0" w14:textId="77777777" w:rsidR="00FA5675" w:rsidRPr="00FA5675" w:rsidRDefault="00FA5675" w:rsidP="00FA5675">
      <w:pPr>
        <w:numPr>
          <w:ilvl w:val="0"/>
          <w:numId w:val="6"/>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For all </w:t>
      </w:r>
      <w:proofErr w:type="gramStart"/>
      <w:r w:rsidRPr="00FA5675">
        <w:rPr>
          <w:rFonts w:ascii="Times New Roman" w:eastAsia="Times New Roman" w:hAnsi="Times New Roman" w:cs="Times New Roman"/>
          <w:sz w:val="24"/>
          <w:szCs w:val="24"/>
          <w:lang w:eastAsia="ja-JP"/>
        </w:rPr>
        <w:t>wire/ACH transfer</w:t>
      </w:r>
      <w:proofErr w:type="gramEnd"/>
      <w:r w:rsidRPr="00FA5675">
        <w:rPr>
          <w:rFonts w:ascii="Times New Roman" w:eastAsia="Times New Roman" w:hAnsi="Times New Roman" w:cs="Times New Roman"/>
          <w:sz w:val="24"/>
          <w:szCs w:val="24"/>
          <w:lang w:eastAsia="ja-JP"/>
        </w:rPr>
        <w:t xml:space="preserve"> of funds, the following information is required: </w:t>
      </w:r>
    </w:p>
    <w:p w14:paraId="02EB45F5" w14:textId="77777777" w:rsidR="00FA5675" w:rsidRPr="00FA5675" w:rsidRDefault="00FA5675" w:rsidP="00FA5675">
      <w:pPr>
        <w:numPr>
          <w:ilvl w:val="0"/>
          <w:numId w:val="7"/>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Must create a template for all transactions. </w:t>
      </w:r>
    </w:p>
    <w:p w14:paraId="16E77231" w14:textId="77777777" w:rsidR="00FA5675" w:rsidRPr="00FA5675" w:rsidRDefault="00FA5675" w:rsidP="00FA5675">
      <w:pPr>
        <w:numPr>
          <w:ilvl w:val="0"/>
          <w:numId w:val="8"/>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Name of person spoken to, including the recipient vendor title and telephone number. </w:t>
      </w:r>
    </w:p>
    <w:p w14:paraId="48147F65" w14:textId="77777777" w:rsidR="00FA5675" w:rsidRPr="00FA5675" w:rsidRDefault="00FA5675" w:rsidP="00FA5675">
      <w:pPr>
        <w:numPr>
          <w:ilvl w:val="0"/>
          <w:numId w:val="9"/>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Name of the two individuals from the covered entity that verbally and in writing confirmed the authorization of the transfer, and the receiving bank information, including routing number, account number and dollar amount. </w:t>
      </w:r>
    </w:p>
    <w:p w14:paraId="55681C02" w14:textId="77777777" w:rsidR="00FA5675" w:rsidRPr="00FA5675" w:rsidRDefault="00FA5675" w:rsidP="00FA5675">
      <w:pPr>
        <w:numPr>
          <w:ilvl w:val="0"/>
          <w:numId w:val="10"/>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Confirming telephone call to vendor/receiving entity verifying transfer authorization, receiving bank information including routing number, account number and dollar amount. </w:t>
      </w:r>
    </w:p>
    <w:p w14:paraId="16075C29" w14:textId="77777777" w:rsidR="00FA5675" w:rsidRPr="00FA5675" w:rsidRDefault="00FA5675" w:rsidP="00FA5675">
      <w:pPr>
        <w:numPr>
          <w:ilvl w:val="0"/>
          <w:numId w:val="11"/>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Memorialization of the transfer and confirmation of completion of the transaction. </w:t>
      </w:r>
    </w:p>
    <w:p w14:paraId="336745CC" w14:textId="77777777" w:rsidR="00FA5675" w:rsidRPr="00FA5675" w:rsidRDefault="00FA5675" w:rsidP="00FA5675">
      <w:pPr>
        <w:numPr>
          <w:ilvl w:val="0"/>
          <w:numId w:val="12"/>
        </w:numPr>
        <w:spacing w:after="0" w:line="240" w:lineRule="auto"/>
        <w:ind w:left="216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Exception to the above is when a recurring transaction with an established template is transacted, steps iii-v will not have to be completed.</w:t>
      </w:r>
    </w:p>
    <w:p w14:paraId="1BED5FBB" w14:textId="77777777" w:rsidR="00FA5675" w:rsidRPr="00FA5675" w:rsidRDefault="00FA5675" w:rsidP="00FA5675">
      <w:pPr>
        <w:spacing w:after="0" w:line="240" w:lineRule="auto"/>
        <w:ind w:left="2160"/>
        <w:jc w:val="both"/>
        <w:textAlignment w:val="baseline"/>
        <w:rPr>
          <w:rFonts w:ascii="Times New Roman" w:eastAsia="Times New Roman" w:hAnsi="Times New Roman" w:cs="Times New Roman"/>
          <w:sz w:val="24"/>
          <w:szCs w:val="24"/>
          <w:lang w:eastAsia="ja-JP"/>
        </w:rPr>
      </w:pPr>
    </w:p>
    <w:p w14:paraId="7C7E3A62" w14:textId="77777777" w:rsidR="00FA5675" w:rsidRPr="00FA5675" w:rsidRDefault="00FA5675" w:rsidP="00FA5675">
      <w:pPr>
        <w:numPr>
          <w:ilvl w:val="0"/>
          <w:numId w:val="13"/>
        </w:numPr>
        <w:tabs>
          <w:tab w:val="left" w:pos="1440"/>
        </w:tabs>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lastRenderedPageBreak/>
        <w:t>Memorialization of each transfer/payment</w:t>
      </w:r>
      <w:r w:rsidRPr="00FA5675">
        <w:rPr>
          <w:rFonts w:ascii="Times New Roman" w:eastAsia="Times New Roman" w:hAnsi="Times New Roman" w:cs="Times New Roman"/>
          <w:b/>
          <w:bCs/>
          <w:sz w:val="24"/>
          <w:szCs w:val="24"/>
          <w:lang w:eastAsia="ja-JP"/>
        </w:rPr>
        <w:t xml:space="preserve"> </w:t>
      </w:r>
      <w:r w:rsidRPr="00FA5675">
        <w:rPr>
          <w:rFonts w:ascii="Times New Roman" w:eastAsia="Times New Roman" w:hAnsi="Times New Roman" w:cs="Times New Roman"/>
          <w:sz w:val="24"/>
          <w:szCs w:val="24"/>
          <w:lang w:eastAsia="ja-JP"/>
        </w:rPr>
        <w:t xml:space="preserve">must be filed with the Chief Financial Officer/JIF treasurer and made available for audit. </w:t>
      </w:r>
    </w:p>
    <w:p w14:paraId="1192BD50" w14:textId="77777777" w:rsidR="00FA5675" w:rsidRPr="00FA5675" w:rsidRDefault="00FA5675" w:rsidP="00FA5675">
      <w:pPr>
        <w:tabs>
          <w:tab w:val="left" w:pos="1440"/>
        </w:tabs>
        <w:spacing w:after="0" w:line="240" w:lineRule="auto"/>
        <w:ind w:left="1440"/>
        <w:jc w:val="both"/>
        <w:textAlignment w:val="baseline"/>
        <w:rPr>
          <w:rFonts w:ascii="Times New Roman" w:eastAsia="Times New Roman" w:hAnsi="Times New Roman" w:cs="Times New Roman"/>
          <w:sz w:val="24"/>
          <w:szCs w:val="24"/>
          <w:lang w:eastAsia="ja-JP"/>
        </w:rPr>
      </w:pPr>
    </w:p>
    <w:p w14:paraId="45755558" w14:textId="77777777" w:rsidR="00FA5675" w:rsidRPr="00FA5675" w:rsidRDefault="00FA5675" w:rsidP="00FA5675">
      <w:pPr>
        <w:numPr>
          <w:ilvl w:val="0"/>
          <w:numId w:val="14"/>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A detailed description of all wire transfers and ACH payments must be filed with the Chief Administrative Officer and the Clerk. </w:t>
      </w:r>
    </w:p>
    <w:p w14:paraId="4157DC0C"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62A19259" w14:textId="77777777" w:rsidR="00FA5675" w:rsidRPr="00FA5675" w:rsidRDefault="00FA5675" w:rsidP="00FA5675">
      <w:pPr>
        <w:numPr>
          <w:ilvl w:val="0"/>
          <w:numId w:val="15"/>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Verbally confirm, within 24 hours, with receiving vendor/entity that the funds were credited to their account. </w:t>
      </w:r>
    </w:p>
    <w:p w14:paraId="6B783FF0"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7F39D1B2" w14:textId="77777777" w:rsidR="00FA5675" w:rsidRPr="00FA5675" w:rsidRDefault="00FA5675" w:rsidP="00FA5675">
      <w:pPr>
        <w:numPr>
          <w:ilvl w:val="0"/>
          <w:numId w:val="16"/>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Entities are required to establish a policy restricting the frequency of wire transfers to infrequent or emergent matters, and real estate transactions, rather than for routine payments to vendors. The frequency of fraudulent transactions for wire transfers is far greater than for checks. Templates must be set up for wire transfers and ACH payments. </w:t>
      </w:r>
    </w:p>
    <w:p w14:paraId="682E8F13"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5D33BE04" w14:textId="77777777" w:rsidR="00FA5675" w:rsidRPr="00FA5675" w:rsidRDefault="00FA5675" w:rsidP="00FA5675">
      <w:pPr>
        <w:numPr>
          <w:ilvl w:val="0"/>
          <w:numId w:val="17"/>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Entities are required to </w:t>
      </w:r>
      <w:proofErr w:type="gramStart"/>
      <w:r w:rsidRPr="00FA5675">
        <w:rPr>
          <w:rFonts w:ascii="Times New Roman" w:eastAsia="Times New Roman" w:hAnsi="Times New Roman" w:cs="Times New Roman"/>
          <w:sz w:val="24"/>
          <w:szCs w:val="24"/>
          <w:lang w:eastAsia="ja-JP"/>
        </w:rPr>
        <w:t>placing</w:t>
      </w:r>
      <w:proofErr w:type="gramEnd"/>
      <w:r w:rsidRPr="00FA5675">
        <w:rPr>
          <w:rFonts w:ascii="Times New Roman" w:eastAsia="Times New Roman" w:hAnsi="Times New Roman" w:cs="Times New Roman"/>
          <w:sz w:val="24"/>
          <w:szCs w:val="24"/>
          <w:lang w:eastAsia="ja-JP"/>
        </w:rPr>
        <w:t xml:space="preserve"> a dollar limit on wire </w:t>
      </w:r>
      <w:proofErr w:type="gramStart"/>
      <w:r w:rsidRPr="00FA5675">
        <w:rPr>
          <w:rFonts w:ascii="Times New Roman" w:eastAsia="Times New Roman" w:hAnsi="Times New Roman" w:cs="Times New Roman"/>
          <w:sz w:val="24"/>
          <w:szCs w:val="24"/>
          <w:lang w:eastAsia="ja-JP"/>
        </w:rPr>
        <w:t>transfers</w:t>
      </w:r>
      <w:proofErr w:type="gramEnd"/>
      <w:r w:rsidRPr="00FA5675">
        <w:rPr>
          <w:rFonts w:ascii="Times New Roman" w:eastAsia="Times New Roman" w:hAnsi="Times New Roman" w:cs="Times New Roman"/>
          <w:sz w:val="24"/>
          <w:szCs w:val="24"/>
          <w:lang w:eastAsia="ja-JP"/>
        </w:rPr>
        <w:t xml:space="preserve"> and ACH payments that </w:t>
      </w:r>
      <w:proofErr w:type="gramStart"/>
      <w:r w:rsidRPr="00FA5675">
        <w:rPr>
          <w:rFonts w:ascii="Times New Roman" w:eastAsia="Times New Roman" w:hAnsi="Times New Roman" w:cs="Times New Roman"/>
          <w:sz w:val="24"/>
          <w:szCs w:val="24"/>
          <w:lang w:eastAsia="ja-JP"/>
        </w:rPr>
        <w:t>is</w:t>
      </w:r>
      <w:proofErr w:type="gramEnd"/>
      <w:r w:rsidRPr="00FA5675">
        <w:rPr>
          <w:rFonts w:ascii="Times New Roman" w:eastAsia="Times New Roman" w:hAnsi="Times New Roman" w:cs="Times New Roman"/>
          <w:sz w:val="24"/>
          <w:szCs w:val="24"/>
          <w:lang w:eastAsia="ja-JP"/>
        </w:rPr>
        <w:t xml:space="preserve"> reasonable to your size entity but recognize when setting that limit that your coverage is limited to the maximum coverage of the crime policy and your entity will be responsible for any losses between the coverage </w:t>
      </w:r>
      <w:proofErr w:type="gramStart"/>
      <w:r w:rsidRPr="00FA5675">
        <w:rPr>
          <w:rFonts w:ascii="Times New Roman" w:eastAsia="Times New Roman" w:hAnsi="Times New Roman" w:cs="Times New Roman"/>
          <w:sz w:val="24"/>
          <w:szCs w:val="24"/>
          <w:lang w:eastAsia="ja-JP"/>
        </w:rPr>
        <w:t>limits</w:t>
      </w:r>
      <w:proofErr w:type="gramEnd"/>
      <w:r w:rsidRPr="00FA5675">
        <w:rPr>
          <w:rFonts w:ascii="Times New Roman" w:eastAsia="Times New Roman" w:hAnsi="Times New Roman" w:cs="Times New Roman"/>
          <w:sz w:val="24"/>
          <w:szCs w:val="24"/>
          <w:lang w:eastAsia="ja-JP"/>
        </w:rPr>
        <w:t xml:space="preserve"> and the wire limit </w:t>
      </w:r>
      <w:proofErr w:type="gramStart"/>
      <w:r w:rsidRPr="00FA5675">
        <w:rPr>
          <w:rFonts w:ascii="Times New Roman" w:eastAsia="Times New Roman" w:hAnsi="Times New Roman" w:cs="Times New Roman"/>
          <w:sz w:val="24"/>
          <w:szCs w:val="24"/>
          <w:lang w:eastAsia="ja-JP"/>
        </w:rPr>
        <w:t>you</w:t>
      </w:r>
      <w:proofErr w:type="gramEnd"/>
      <w:r w:rsidRPr="00FA5675">
        <w:rPr>
          <w:rFonts w:ascii="Times New Roman" w:eastAsia="Times New Roman" w:hAnsi="Times New Roman" w:cs="Times New Roman"/>
          <w:sz w:val="24"/>
          <w:szCs w:val="24"/>
          <w:lang w:eastAsia="ja-JP"/>
        </w:rPr>
        <w:t xml:space="preserve"> set.</w:t>
      </w:r>
    </w:p>
    <w:p w14:paraId="250D91CC"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149EF9A2" w14:textId="77777777" w:rsidR="00FA5675" w:rsidRPr="00FA5675" w:rsidRDefault="00FA5675" w:rsidP="00FA5675">
      <w:pPr>
        <w:numPr>
          <w:ilvl w:val="0"/>
          <w:numId w:val="18"/>
        </w:num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Establish on-line banking alerts for all wires &amp; ACHs changes to a template. The online banking policy must include a requirement that the wire/ACH is not released until the recipient of the alert approves it. </w:t>
      </w:r>
    </w:p>
    <w:p w14:paraId="31DB6A02"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497EA45F" w14:textId="77777777" w:rsidR="00FA5675" w:rsidRPr="00FA5675" w:rsidRDefault="00FA5675" w:rsidP="00FA5675">
      <w:pPr>
        <w:numPr>
          <w:ilvl w:val="0"/>
          <w:numId w:val="19"/>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Covered entities are required to restrict all permissions on international wires. Authorized users are required to set up </w:t>
      </w:r>
      <w:proofErr w:type="gramStart"/>
      <w:r w:rsidRPr="00FA5675">
        <w:rPr>
          <w:rFonts w:ascii="Times New Roman" w:eastAsia="Times New Roman" w:hAnsi="Times New Roman" w:cs="Times New Roman"/>
          <w:sz w:val="24"/>
          <w:szCs w:val="24"/>
          <w:lang w:eastAsia="ja-JP"/>
        </w:rPr>
        <w:t>the restrictions</w:t>
      </w:r>
      <w:proofErr w:type="gramEnd"/>
      <w:r w:rsidRPr="00FA5675">
        <w:rPr>
          <w:rFonts w:ascii="Times New Roman" w:eastAsia="Times New Roman" w:hAnsi="Times New Roman" w:cs="Times New Roman"/>
          <w:sz w:val="24"/>
          <w:szCs w:val="24"/>
          <w:lang w:eastAsia="ja-JP"/>
        </w:rPr>
        <w:t xml:space="preserve"> on the banking institution’s on-line system.</w:t>
      </w:r>
    </w:p>
    <w:p w14:paraId="1A749B98"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0681C9D9" w14:textId="77777777" w:rsidR="00FA5675" w:rsidRPr="00FA5675" w:rsidRDefault="00FA5675" w:rsidP="00FA5675">
      <w:pPr>
        <w:numPr>
          <w:ilvl w:val="0"/>
          <w:numId w:val="20"/>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Each Chief Financial Officer must utilize blocks and alerts in their banking system to ensure that any transactions not specifically authorized will be flagged by the banking system, and the Chief Financial Officer must authorize each flagged transaction. </w:t>
      </w:r>
      <w:r w:rsidRPr="00FA5675">
        <w:rPr>
          <w:rFonts w:ascii="Times New Roman" w:eastAsia="Times New Roman" w:hAnsi="Times New Roman" w:cs="Times New Roman"/>
          <w:b/>
          <w:bCs/>
          <w:sz w:val="24"/>
          <w:szCs w:val="24"/>
          <w:lang w:eastAsia="ja-JP"/>
        </w:rPr>
        <w:t xml:space="preserve">The use of a Payee Positive Pay system for all checks and ACH transactions is required. </w:t>
      </w:r>
      <w:r w:rsidRPr="00FA5675">
        <w:rPr>
          <w:rFonts w:ascii="Times New Roman" w:eastAsia="Times New Roman" w:hAnsi="Times New Roman" w:cs="Times New Roman"/>
          <w:sz w:val="24"/>
          <w:szCs w:val="24"/>
          <w:lang w:eastAsia="ja-JP"/>
        </w:rPr>
        <w:t>Additionally, daily review of overnight transactions and balances to identify any unusual transactions or events is strongly recommended. </w:t>
      </w:r>
    </w:p>
    <w:p w14:paraId="3C294314"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15FF276A" w14:textId="77777777" w:rsidR="00FA5675" w:rsidRPr="00FA5675" w:rsidRDefault="00FA5675" w:rsidP="00FA5675">
      <w:pPr>
        <w:numPr>
          <w:ilvl w:val="0"/>
          <w:numId w:val="21"/>
        </w:numPr>
        <w:spacing w:after="0" w:line="240" w:lineRule="auto"/>
        <w:ind w:left="1440"/>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Notify the bank and Chief Financial Officer/Treasurer/Responsible individual immediately if suspicious activity is detected. </w:t>
      </w:r>
    </w:p>
    <w:p w14:paraId="7897DC7B" w14:textId="77777777" w:rsidR="00FA5675" w:rsidRPr="00FA5675" w:rsidRDefault="00FA5675" w:rsidP="00FA5675">
      <w:pPr>
        <w:spacing w:after="0" w:line="240" w:lineRule="auto"/>
        <w:ind w:left="1440"/>
        <w:jc w:val="both"/>
        <w:textAlignment w:val="baseline"/>
        <w:rPr>
          <w:rFonts w:ascii="Times New Roman" w:eastAsia="Times New Roman" w:hAnsi="Times New Roman" w:cs="Times New Roman"/>
          <w:sz w:val="24"/>
          <w:szCs w:val="24"/>
          <w:lang w:eastAsia="ja-JP"/>
        </w:rPr>
      </w:pPr>
    </w:p>
    <w:p w14:paraId="74F245C1" w14:textId="77777777" w:rsidR="00FA5675" w:rsidRPr="00FA5675" w:rsidRDefault="00FA5675" w:rsidP="00FA5675">
      <w:pPr>
        <w:spacing w:after="0" w:line="240" w:lineRule="auto"/>
        <w:jc w:val="both"/>
        <w:textAlignment w:val="baseline"/>
        <w:rPr>
          <w:rFonts w:ascii="Times New Roman" w:eastAsia="Times New Roman" w:hAnsi="Times New Roman" w:cs="Times New Roman"/>
          <w:b/>
          <w:bCs/>
          <w:sz w:val="24"/>
          <w:szCs w:val="24"/>
          <w:u w:val="single"/>
          <w:lang w:eastAsia="ja-JP"/>
        </w:rPr>
      </w:pPr>
    </w:p>
    <w:p w14:paraId="0D6AECAF" w14:textId="77777777" w:rsidR="00FA5675" w:rsidRPr="00FA5675" w:rsidRDefault="00FA5675" w:rsidP="00FA5675">
      <w:pPr>
        <w:spacing w:after="0" w:line="240" w:lineRule="auto"/>
        <w:jc w:val="both"/>
        <w:textAlignment w:val="baseline"/>
        <w:rPr>
          <w:rFonts w:ascii="Times New Roman" w:eastAsia="Times New Roman" w:hAnsi="Times New Roman" w:cs="Times New Roman"/>
          <w:b/>
          <w:bCs/>
          <w:sz w:val="24"/>
          <w:szCs w:val="24"/>
          <w:u w:val="single"/>
          <w:lang w:eastAsia="ja-JP"/>
        </w:rPr>
      </w:pPr>
    </w:p>
    <w:p w14:paraId="5A06BAE2"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u w:val="single"/>
          <w:lang w:eastAsia="ja-JP"/>
        </w:rPr>
        <w:t>Cyber Insurance and Wire Transfers </w:t>
      </w:r>
      <w:r w:rsidRPr="00FA5675">
        <w:rPr>
          <w:rFonts w:ascii="Times New Roman" w:eastAsia="Times New Roman" w:hAnsi="Times New Roman" w:cs="Times New Roman"/>
          <w:sz w:val="24"/>
          <w:szCs w:val="24"/>
          <w:lang w:eastAsia="ja-JP"/>
        </w:rPr>
        <w:t> </w:t>
      </w:r>
    </w:p>
    <w:p w14:paraId="4F3C4A9D"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r w:rsidRPr="00FA5675">
        <w:rPr>
          <w:rFonts w:ascii="Times New Roman" w:eastAsia="Times New Roman" w:hAnsi="Times New Roman" w:cs="Times New Roman"/>
          <w:sz w:val="24"/>
          <w:szCs w:val="24"/>
          <w:lang w:eastAsia="ja-JP"/>
        </w:rPr>
        <w:tab/>
      </w:r>
    </w:p>
    <w:p w14:paraId="5707530F"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proofErr w:type="gramStart"/>
      <w:r w:rsidRPr="00FA5675">
        <w:rPr>
          <w:rFonts w:ascii="Times New Roman" w:eastAsia="Times New Roman" w:hAnsi="Times New Roman" w:cs="Times New Roman"/>
          <w:sz w:val="24"/>
          <w:szCs w:val="24"/>
          <w:lang w:eastAsia="ja-JP"/>
        </w:rPr>
        <w:t>Generally speaking, wire</w:t>
      </w:r>
      <w:proofErr w:type="gramEnd"/>
      <w:r w:rsidRPr="00FA5675">
        <w:rPr>
          <w:rFonts w:ascii="Times New Roman" w:eastAsia="Times New Roman" w:hAnsi="Times New Roman" w:cs="Times New Roman"/>
          <w:sz w:val="24"/>
          <w:szCs w:val="24"/>
          <w:lang w:eastAsia="ja-JP"/>
        </w:rPr>
        <w:t xml:space="preserve"> transfer fraud is considered a theft and there may be limits of up to $250,000 depending on the incident. That leaves a potential gap for significant exposure beyond this coverage. There are important coverage contingencies in many policies, such as that the </w:t>
      </w:r>
      <w:r w:rsidRPr="00FA5675">
        <w:rPr>
          <w:rFonts w:ascii="Times New Roman" w:eastAsia="Times New Roman" w:hAnsi="Times New Roman" w:cs="Times New Roman"/>
          <w:sz w:val="24"/>
          <w:szCs w:val="24"/>
          <w:lang w:eastAsia="ja-JP"/>
        </w:rPr>
        <w:lastRenderedPageBreak/>
        <w:t>coverage will apply only if you “</w:t>
      </w:r>
      <w:r w:rsidRPr="00FA5675">
        <w:rPr>
          <w:rFonts w:ascii="Times New Roman" w:eastAsia="Times New Roman" w:hAnsi="Times New Roman" w:cs="Times New Roman"/>
          <w:b/>
          <w:bCs/>
          <w:sz w:val="24"/>
          <w:szCs w:val="24"/>
          <w:u w:val="single"/>
          <w:lang w:eastAsia="ja-JP"/>
        </w:rPr>
        <w:t>properly verify the instructions to transfer such assets by following a prearranged procedure to authenticate the request</w:t>
      </w:r>
      <w:r w:rsidRPr="00FA5675">
        <w:rPr>
          <w:rFonts w:ascii="Times New Roman" w:eastAsia="Times New Roman" w:hAnsi="Times New Roman" w:cs="Times New Roman"/>
          <w:sz w:val="24"/>
          <w:szCs w:val="24"/>
          <w:lang w:eastAsia="ja-JP"/>
        </w:rPr>
        <w:t xml:space="preserve">.” The bottom line is, insurers have been moving to restrict or eliminate coverage altogether, especially if proper controls are not in place. Many of the losses that we </w:t>
      </w:r>
      <w:proofErr w:type="gramStart"/>
      <w:r w:rsidRPr="00FA5675">
        <w:rPr>
          <w:rFonts w:ascii="Times New Roman" w:eastAsia="Times New Roman" w:hAnsi="Times New Roman" w:cs="Times New Roman"/>
          <w:sz w:val="24"/>
          <w:szCs w:val="24"/>
          <w:lang w:eastAsia="ja-JP"/>
        </w:rPr>
        <w:t>are seeing</w:t>
      </w:r>
      <w:proofErr w:type="gramEnd"/>
      <w:r w:rsidRPr="00FA5675">
        <w:rPr>
          <w:rFonts w:ascii="Times New Roman" w:eastAsia="Times New Roman" w:hAnsi="Times New Roman" w:cs="Times New Roman"/>
          <w:sz w:val="24"/>
          <w:szCs w:val="24"/>
          <w:lang w:eastAsia="ja-JP"/>
        </w:rPr>
        <w:t xml:space="preserve"> today </w:t>
      </w:r>
      <w:proofErr w:type="gramStart"/>
      <w:r w:rsidRPr="00FA5675">
        <w:rPr>
          <w:rFonts w:ascii="Times New Roman" w:eastAsia="Times New Roman" w:hAnsi="Times New Roman" w:cs="Times New Roman"/>
          <w:sz w:val="24"/>
          <w:szCs w:val="24"/>
          <w:lang w:eastAsia="ja-JP"/>
        </w:rPr>
        <w:t>throughout</w:t>
      </w:r>
      <w:proofErr w:type="gramEnd"/>
      <w:r w:rsidRPr="00FA5675">
        <w:rPr>
          <w:rFonts w:ascii="Times New Roman" w:eastAsia="Times New Roman" w:hAnsi="Times New Roman" w:cs="Times New Roman"/>
          <w:sz w:val="24"/>
          <w:szCs w:val="24"/>
          <w:lang w:eastAsia="ja-JP"/>
        </w:rPr>
        <w:t xml:space="preserve"> government agencies are easy to prevent, but also easy to create significant losses. Prudent controls must be implemented to protect our members and covered entities and minimize exposure, as well as to qualify for coverage. </w:t>
      </w:r>
    </w:p>
    <w:p w14:paraId="4F0A411D"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5770C722" w14:textId="77777777" w:rsidR="00FA5675" w:rsidRPr="00FA5675" w:rsidRDefault="00FA5675" w:rsidP="00FA5675">
      <w:pPr>
        <w:spacing w:after="0" w:line="240" w:lineRule="auto"/>
        <w:jc w:val="both"/>
        <w:textAlignment w:val="baseline"/>
        <w:rPr>
          <w:rFonts w:ascii="Times New Roman" w:eastAsia="Times New Roman" w:hAnsi="Times New Roman" w:cs="Times New Roman"/>
          <w:b/>
          <w:bCs/>
          <w:sz w:val="24"/>
          <w:szCs w:val="24"/>
          <w:u w:val="single"/>
          <w:lang w:eastAsia="ja-JP"/>
        </w:rPr>
      </w:pPr>
    </w:p>
    <w:p w14:paraId="1C9435C6"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b/>
          <w:bCs/>
          <w:sz w:val="24"/>
          <w:szCs w:val="24"/>
          <w:u w:val="single"/>
          <w:lang w:eastAsia="ja-JP"/>
        </w:rPr>
        <w:t>Conclusion</w:t>
      </w:r>
      <w:r w:rsidRPr="00FA5675">
        <w:rPr>
          <w:rFonts w:ascii="Times New Roman" w:eastAsia="Times New Roman" w:hAnsi="Times New Roman" w:cs="Times New Roman"/>
          <w:sz w:val="24"/>
          <w:szCs w:val="24"/>
          <w:lang w:eastAsia="ja-JP"/>
        </w:rPr>
        <w:t> </w:t>
      </w:r>
    </w:p>
    <w:p w14:paraId="7CDFBF46"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2EB9D22C"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xml:space="preserve">In conclusion, we would ask that you thoroughly review this memorandum and ensure that your legal counsel, Administration and Chief Financial Officer have, at a minimum, adhered to these best practices. </w:t>
      </w:r>
    </w:p>
    <w:p w14:paraId="29C0B1A3"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606B70E9"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If you have any questions, please do not hesitate to contact the undersigned. </w:t>
      </w:r>
    </w:p>
    <w:p w14:paraId="14D78B6A" w14:textId="77777777" w:rsidR="00FA5675" w:rsidRPr="00FA5675" w:rsidRDefault="00FA5675" w:rsidP="00FA5675">
      <w:pPr>
        <w:spacing w:after="0" w:line="240" w:lineRule="auto"/>
        <w:jc w:val="both"/>
        <w:textAlignment w:val="baseline"/>
        <w:rPr>
          <w:rFonts w:ascii="Times New Roman" w:eastAsia="Times New Roman" w:hAnsi="Times New Roman" w:cs="Times New Roman"/>
          <w:sz w:val="24"/>
          <w:szCs w:val="24"/>
          <w:lang w:eastAsia="ja-JP"/>
        </w:rPr>
      </w:pPr>
      <w:r w:rsidRPr="00FA5675">
        <w:rPr>
          <w:rFonts w:ascii="Times New Roman" w:eastAsia="Times New Roman" w:hAnsi="Times New Roman" w:cs="Times New Roman"/>
          <w:sz w:val="24"/>
          <w:szCs w:val="24"/>
          <w:lang w:eastAsia="ja-JP"/>
        </w:rPr>
        <w:t> </w:t>
      </w:r>
    </w:p>
    <w:p w14:paraId="62596C8C" w14:textId="77777777" w:rsidR="00561D07" w:rsidRPr="00FA5675" w:rsidRDefault="00561D07">
      <w:pPr>
        <w:rPr>
          <w:rFonts w:ascii="Times New Roman" w:hAnsi="Times New Roman" w:cs="Times New Roman"/>
          <w:sz w:val="24"/>
          <w:szCs w:val="24"/>
        </w:rPr>
      </w:pPr>
    </w:p>
    <w:sectPr w:rsidR="00561D07" w:rsidRPr="00FA5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792"/>
    <w:multiLevelType w:val="multilevel"/>
    <w:tmpl w:val="218423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F2221"/>
    <w:multiLevelType w:val="multilevel"/>
    <w:tmpl w:val="21843F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DA11DE"/>
    <w:multiLevelType w:val="multilevel"/>
    <w:tmpl w:val="3892B1D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72528A5"/>
    <w:multiLevelType w:val="multilevel"/>
    <w:tmpl w:val="07B0616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CFE6DB4"/>
    <w:multiLevelType w:val="multilevel"/>
    <w:tmpl w:val="A34E6A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642ED6"/>
    <w:multiLevelType w:val="multilevel"/>
    <w:tmpl w:val="1D6E56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D11F3A"/>
    <w:multiLevelType w:val="multilevel"/>
    <w:tmpl w:val="568E188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E155195"/>
    <w:multiLevelType w:val="multilevel"/>
    <w:tmpl w:val="12C46052"/>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EFE1D20"/>
    <w:multiLevelType w:val="multilevel"/>
    <w:tmpl w:val="010EDBF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C7D6E10"/>
    <w:multiLevelType w:val="hybridMultilevel"/>
    <w:tmpl w:val="7642534C"/>
    <w:lvl w:ilvl="0" w:tplc="7D325C7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DEF7687"/>
    <w:multiLevelType w:val="multilevel"/>
    <w:tmpl w:val="E14237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01D1511"/>
    <w:multiLevelType w:val="multilevel"/>
    <w:tmpl w:val="CFDCE78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49D1926"/>
    <w:multiLevelType w:val="multilevel"/>
    <w:tmpl w:val="D542004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481D4FBF"/>
    <w:multiLevelType w:val="multilevel"/>
    <w:tmpl w:val="4E3017F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FA068A2"/>
    <w:multiLevelType w:val="multilevel"/>
    <w:tmpl w:val="9D0AFBB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8A62FA9"/>
    <w:multiLevelType w:val="multilevel"/>
    <w:tmpl w:val="281C157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2645F93"/>
    <w:multiLevelType w:val="multilevel"/>
    <w:tmpl w:val="A21441B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3190332"/>
    <w:multiLevelType w:val="multilevel"/>
    <w:tmpl w:val="6F54498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86C34C6"/>
    <w:multiLevelType w:val="multilevel"/>
    <w:tmpl w:val="B89CCB4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F3F219E"/>
    <w:multiLevelType w:val="multilevel"/>
    <w:tmpl w:val="CC0EBA6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ADE58CA"/>
    <w:multiLevelType w:val="multilevel"/>
    <w:tmpl w:val="ECEEF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3B5B77"/>
    <w:multiLevelType w:val="multilevel"/>
    <w:tmpl w:val="5F106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6716409">
    <w:abstractNumId w:val="20"/>
  </w:num>
  <w:num w:numId="2" w16cid:durableId="499782982">
    <w:abstractNumId w:val="21"/>
  </w:num>
  <w:num w:numId="3" w16cid:durableId="1552964645">
    <w:abstractNumId w:val="0"/>
  </w:num>
  <w:num w:numId="4" w16cid:durableId="1378045361">
    <w:abstractNumId w:val="4"/>
  </w:num>
  <w:num w:numId="5" w16cid:durableId="1059786810">
    <w:abstractNumId w:val="10"/>
  </w:num>
  <w:num w:numId="6" w16cid:durableId="643849583">
    <w:abstractNumId w:val="14"/>
  </w:num>
  <w:num w:numId="7" w16cid:durableId="1048065703">
    <w:abstractNumId w:val="8"/>
  </w:num>
  <w:num w:numId="8" w16cid:durableId="1889485984">
    <w:abstractNumId w:val="19"/>
  </w:num>
  <w:num w:numId="9" w16cid:durableId="1904172249">
    <w:abstractNumId w:val="12"/>
  </w:num>
  <w:num w:numId="10" w16cid:durableId="1087309986">
    <w:abstractNumId w:val="2"/>
  </w:num>
  <w:num w:numId="11" w16cid:durableId="1423530445">
    <w:abstractNumId w:val="6"/>
  </w:num>
  <w:num w:numId="12" w16cid:durableId="1772624119">
    <w:abstractNumId w:val="13"/>
  </w:num>
  <w:num w:numId="13" w16cid:durableId="2030329320">
    <w:abstractNumId w:val="1"/>
  </w:num>
  <w:num w:numId="14" w16cid:durableId="1244410201">
    <w:abstractNumId w:val="5"/>
  </w:num>
  <w:num w:numId="15" w16cid:durableId="1716853924">
    <w:abstractNumId w:val="18"/>
  </w:num>
  <w:num w:numId="16" w16cid:durableId="111291246">
    <w:abstractNumId w:val="15"/>
  </w:num>
  <w:num w:numId="17" w16cid:durableId="1251811271">
    <w:abstractNumId w:val="17"/>
  </w:num>
  <w:num w:numId="18" w16cid:durableId="1272929972">
    <w:abstractNumId w:val="11"/>
  </w:num>
  <w:num w:numId="19" w16cid:durableId="1862237932">
    <w:abstractNumId w:val="3"/>
  </w:num>
  <w:num w:numId="20" w16cid:durableId="1913614071">
    <w:abstractNumId w:val="16"/>
  </w:num>
  <w:num w:numId="21" w16cid:durableId="1499270940">
    <w:abstractNumId w:val="7"/>
  </w:num>
  <w:num w:numId="22" w16cid:durableId="477840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75"/>
    <w:rsid w:val="00243DA7"/>
    <w:rsid w:val="00561D07"/>
    <w:rsid w:val="00A10A70"/>
    <w:rsid w:val="00B37FC6"/>
    <w:rsid w:val="00D81E40"/>
    <w:rsid w:val="00FA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6B5CA"/>
  <w15:chartTrackingRefBased/>
  <w15:docId w15:val="{2C9D0A38-8316-4D85-A064-F2ECF2A7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75"/>
    <w:pPr>
      <w:spacing w:line="259" w:lineRule="auto"/>
    </w:pPr>
    <w:rPr>
      <w:kern w:val="0"/>
      <w:sz w:val="22"/>
      <w:szCs w:val="22"/>
      <w14:ligatures w14:val="none"/>
    </w:rPr>
  </w:style>
  <w:style w:type="paragraph" w:styleId="Heading1">
    <w:name w:val="heading 1"/>
    <w:basedOn w:val="Normal"/>
    <w:next w:val="Normal"/>
    <w:link w:val="Heading1Char"/>
    <w:uiPriority w:val="9"/>
    <w:qFormat/>
    <w:rsid w:val="00FA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675"/>
    <w:rPr>
      <w:rFonts w:eastAsiaTheme="majorEastAsia" w:cstheme="majorBidi"/>
      <w:color w:val="272727" w:themeColor="text1" w:themeTint="D8"/>
    </w:rPr>
  </w:style>
  <w:style w:type="paragraph" w:styleId="Title">
    <w:name w:val="Title"/>
    <w:basedOn w:val="Normal"/>
    <w:next w:val="Normal"/>
    <w:link w:val="TitleChar"/>
    <w:uiPriority w:val="10"/>
    <w:qFormat/>
    <w:rsid w:val="00FA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675"/>
    <w:pPr>
      <w:spacing w:before="160"/>
      <w:jc w:val="center"/>
    </w:pPr>
    <w:rPr>
      <w:i/>
      <w:iCs/>
      <w:color w:val="404040" w:themeColor="text1" w:themeTint="BF"/>
    </w:rPr>
  </w:style>
  <w:style w:type="character" w:customStyle="1" w:styleId="QuoteChar">
    <w:name w:val="Quote Char"/>
    <w:basedOn w:val="DefaultParagraphFont"/>
    <w:link w:val="Quote"/>
    <w:uiPriority w:val="29"/>
    <w:rsid w:val="00FA5675"/>
    <w:rPr>
      <w:i/>
      <w:iCs/>
      <w:color w:val="404040" w:themeColor="text1" w:themeTint="BF"/>
    </w:rPr>
  </w:style>
  <w:style w:type="paragraph" w:styleId="ListParagraph">
    <w:name w:val="List Paragraph"/>
    <w:basedOn w:val="Normal"/>
    <w:uiPriority w:val="34"/>
    <w:qFormat/>
    <w:rsid w:val="00FA5675"/>
    <w:pPr>
      <w:ind w:left="720"/>
      <w:contextualSpacing/>
    </w:pPr>
  </w:style>
  <w:style w:type="character" w:styleId="IntenseEmphasis">
    <w:name w:val="Intense Emphasis"/>
    <w:basedOn w:val="DefaultParagraphFont"/>
    <w:uiPriority w:val="21"/>
    <w:qFormat/>
    <w:rsid w:val="00FA5675"/>
    <w:rPr>
      <w:i/>
      <w:iCs/>
      <w:color w:val="0F4761" w:themeColor="accent1" w:themeShade="BF"/>
    </w:rPr>
  </w:style>
  <w:style w:type="paragraph" w:styleId="IntenseQuote">
    <w:name w:val="Intense Quote"/>
    <w:basedOn w:val="Normal"/>
    <w:next w:val="Normal"/>
    <w:link w:val="IntenseQuoteChar"/>
    <w:uiPriority w:val="30"/>
    <w:qFormat/>
    <w:rsid w:val="00FA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675"/>
    <w:rPr>
      <w:i/>
      <w:iCs/>
      <w:color w:val="0F4761" w:themeColor="accent1" w:themeShade="BF"/>
    </w:rPr>
  </w:style>
  <w:style w:type="character" w:styleId="IntenseReference">
    <w:name w:val="Intense Reference"/>
    <w:basedOn w:val="DefaultParagraphFont"/>
    <w:uiPriority w:val="32"/>
    <w:qFormat/>
    <w:rsid w:val="00FA56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Ehling</dc:creator>
  <cp:keywords/>
  <dc:description/>
  <cp:lastModifiedBy>Stacey Ehling</cp:lastModifiedBy>
  <cp:revision>1</cp:revision>
  <dcterms:created xsi:type="dcterms:W3CDTF">2025-10-10T22:19:00Z</dcterms:created>
  <dcterms:modified xsi:type="dcterms:W3CDTF">2025-10-10T22:20:00Z</dcterms:modified>
</cp:coreProperties>
</file>